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8E93" w14:textId="4DA243CA" w:rsidR="00BA2998" w:rsidRPr="009A5658" w:rsidRDefault="009A5658" w:rsidP="009A5658">
      <w:pPr>
        <w:pStyle w:val="NoSpacing"/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  <w:lang w:val="hr-HR"/>
        </w:rPr>
      </w:pPr>
      <w:r w:rsidRPr="009A5658">
        <w:rPr>
          <w:rFonts w:asciiTheme="minorHAnsi" w:hAnsiTheme="minorHAnsi" w:cstheme="minorHAnsi"/>
          <w:b/>
          <w:sz w:val="28"/>
          <w:szCs w:val="28"/>
          <w:lang w:val="hr-HR"/>
        </w:rPr>
        <w:t xml:space="preserve">UPRAVNI ODJEL ZA FINANCIJE </w:t>
      </w:r>
    </w:p>
    <w:p w14:paraId="242D24B5" w14:textId="095945E8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DB7D85" w14:textId="77777777" w:rsidR="004E35C4" w:rsidRPr="00BA2998" w:rsidRDefault="004E35C4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42D654" w14:textId="63C801ED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hr-HR"/>
        </w:rPr>
        <w:t>SAŽETAK DJELOKRUGA RADA:</w:t>
      </w:r>
    </w:p>
    <w:p w14:paraId="0AFEBCF7" w14:textId="77777777" w:rsidR="009A5658" w:rsidRPr="00BA2998" w:rsidRDefault="009A565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B255624" w14:textId="77777777" w:rsidR="00BA2998" w:rsidRPr="008641D9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8641D9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Odlukom o ustrojstvu i djelokrugu rada upravnih tijela Dubrovačko-neretvanske županije određeni su poslovi Upravnog odjela za financije, a odnose se na sljedeće:</w:t>
      </w:r>
    </w:p>
    <w:p w14:paraId="42668635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davanje savjeta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područja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</w:t>
      </w:r>
    </w:p>
    <w:p w14:paraId="72378501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planiranje, pripremu i izradu nacrta </w:t>
      </w:r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prijedloga  Proračuna</w:t>
      </w:r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njegovih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izmjena i dopuna tijekom proračunske godine, te pratećih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6F66AD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izrađuje polugodišnje i godišnje izvještaje o izvršenju proračuna, te prateće akte i financijska izvješća u skladu s rokovima i na propisanim obrascima prema Pravilniku o financijskom izvještavanju u proračunskom računovodstvu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propisana izvješća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 Županijske skupštine i upravnih tijela,</w:t>
      </w:r>
    </w:p>
    <w:p w14:paraId="466D1D6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praćenje zaduženosti i izvješćivanja o stanju duga,</w:t>
      </w:r>
    </w:p>
    <w:p w14:paraId="630E092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utvrđivanje proračunskih ograničenja potrošnje utvrđenih na procjeni prihoda i primitaka te predlaganje mjera za uravnoteženje Proračuna,</w:t>
      </w:r>
    </w:p>
    <w:p w14:paraId="2C8300DB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stručne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projekte Europske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djelokruga rada odjela,</w:t>
      </w:r>
    </w:p>
    <w:p w14:paraId="38C48E8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financijsko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knjigovodstveno-računovodstvene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koji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podrazumijevaju provođenje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izvršitelja,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primljenih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prijenos sredstava u skladu s planiranim sredstvima u proračunu,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odlukom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izvršavanju proračuna i internim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kontrola izvršenja u skladu sa zakonskim propisima, te se prikuplja i obrađuje dokumentacijska podloga,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knjigovodstveni podaci proračuna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vrši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se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plaća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kao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vrsta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dohotka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zaposlene,</w:t>
      </w:r>
    </w:p>
    <w:p w14:paraId="679D8B8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predlaganje mjera za unapređenje financijskog poslovanja Županije i uvođenje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unutarnjih financijskih kontrola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načela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dobrog  financijskog</w:t>
      </w:r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upravljanja u upravnim tijelima,</w:t>
      </w:r>
    </w:p>
    <w:p w14:paraId="21FE2E0E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aktivnosti s upravnim tijelima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pripreme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izjave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fiskalnoj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Župana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pripadajuće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dokumentacije prema zakonskim propisima i podzakonskim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2F39A687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temeljem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lokalnim porezima izdaje prvostupanjska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rješenja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obveznicima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na cestovna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motorna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vozila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provodi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odgovarajuću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kontrolu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evidenciju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1B661E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sudjelovanje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izradi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strateških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ostalih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</w:t>
      </w:r>
    </w:p>
    <w:p w14:paraId="5CD6EB7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utvrđene posebnim zakonom, drugim propisima,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Županijske skupštine i Župana.</w:t>
      </w:r>
    </w:p>
    <w:p w14:paraId="3C13A9BE" w14:textId="580D8600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19DA904F" w14:textId="70DEE629" w:rsidR="008641D9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3230AD54" w14:textId="77777777" w:rsidR="008641D9" w:rsidRPr="00BA2998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F190768" w14:textId="0BED1939" w:rsidR="00BA2998" w:rsidRDefault="00BA2998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lastRenderedPageBreak/>
        <w:t>PRORAČUNSKI KORISNICI IZ DJELOKRUGA RADA</w:t>
      </w:r>
      <w:r w:rsidR="004E35C4">
        <w:rPr>
          <w:rFonts w:asciiTheme="minorHAnsi" w:hAnsiTheme="minorHAnsi" w:cstheme="minorHAnsi"/>
          <w:b/>
          <w:sz w:val="24"/>
          <w:szCs w:val="24"/>
          <w:lang w:val="fr-FR"/>
        </w:rPr>
        <w:t> :</w:t>
      </w:r>
    </w:p>
    <w:p w14:paraId="21ED66E4" w14:textId="77777777" w:rsidR="004E35C4" w:rsidRPr="00BA2998" w:rsidRDefault="004E35C4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E3E1272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t>Upravni odjel za financije u svojoj nadležnosti nema proračunskih   korisnika.</w:t>
      </w:r>
    </w:p>
    <w:p w14:paraId="0E568E5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299E3FF2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ORGANIZACIJSKA STRUKTURA:</w:t>
      </w:r>
    </w:p>
    <w:p w14:paraId="3707F93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DBF02F7" w14:textId="2B9101BC" w:rsidR="00BA2998" w:rsidRPr="004E35C4" w:rsidRDefault="00BA2998" w:rsidP="004E35C4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t>Organizacijska struktura određena je Pravilnikom o unutarnjem redu Upravnog odjela za financije Dubrovačko-neretvanske županije.</w:t>
      </w:r>
    </w:p>
    <w:p w14:paraId="0568B533" w14:textId="1CFC1ABB" w:rsidR="00BA2998" w:rsidRDefault="00BA2998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14:paraId="0E9A2A10" w14:textId="23BF6E5F" w:rsidR="00BA2998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 xml:space="preserve">IZVRŠENJE UPRAVNOG ODJELA ZA </w:t>
      </w:r>
      <w:r w:rsidR="00391D9D">
        <w:rPr>
          <w:rFonts w:eastAsia="Times New Roman" w:cstheme="minorHAnsi"/>
          <w:b/>
          <w:color w:val="000000"/>
          <w:sz w:val="24"/>
          <w:szCs w:val="24"/>
        </w:rPr>
        <w:t>RAZDOBLJE 1-</w:t>
      </w:r>
      <w:r w:rsidR="00AD4F15">
        <w:rPr>
          <w:rFonts w:eastAsia="Times New Roman" w:cstheme="minorHAnsi"/>
          <w:b/>
          <w:color w:val="000000"/>
          <w:sz w:val="24"/>
          <w:szCs w:val="24"/>
        </w:rPr>
        <w:t>12</w:t>
      </w:r>
      <w:r w:rsidR="00391D9D">
        <w:rPr>
          <w:rFonts w:eastAsia="Times New Roman" w:cstheme="minorHAnsi"/>
          <w:b/>
          <w:color w:val="000000"/>
          <w:sz w:val="24"/>
          <w:szCs w:val="24"/>
        </w:rPr>
        <w:t>/2023</w:t>
      </w:r>
      <w:r>
        <w:rPr>
          <w:rFonts w:eastAsia="Times New Roman" w:cstheme="minorHAnsi"/>
          <w:b/>
          <w:color w:val="000000"/>
          <w:sz w:val="24"/>
          <w:szCs w:val="24"/>
        </w:rPr>
        <w:t>.:</w:t>
      </w:r>
    </w:p>
    <w:p w14:paraId="7E7D78F9" w14:textId="2E96D1BC" w:rsid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14:paraId="6AF8D4B6" w14:textId="0F23DEB2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  <w:bookmarkStart w:id="0" w:name="_Hlk132365713"/>
      <w:r w:rsidRPr="004E35C4">
        <w:rPr>
          <w:rFonts w:eastAsia="Times New Roman" w:cstheme="minorHAnsi"/>
          <w:bCs/>
          <w:color w:val="000000"/>
          <w:sz w:val="24"/>
          <w:szCs w:val="24"/>
        </w:rPr>
        <w:t xml:space="preserve">Program 1600 Zajednički stručni i administrativni poslovi </w:t>
      </w:r>
    </w:p>
    <w:bookmarkEnd w:id="0"/>
    <w:p w14:paraId="4AAD36E2" w14:textId="77777777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A41863" w:rsidRPr="00A45E24" w14:paraId="60801A40" w14:textId="77777777" w:rsidTr="00A55BC5">
        <w:trPr>
          <w:trHeight w:val="116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8755E1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 A160001</w:t>
            </w:r>
          </w:p>
          <w:p w14:paraId="79A7DB17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A160002</w:t>
            </w:r>
          </w:p>
          <w:p w14:paraId="378D04C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A160003</w:t>
            </w:r>
          </w:p>
          <w:p w14:paraId="37FD3736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A160004</w:t>
            </w:r>
          </w:p>
          <w:p w14:paraId="083BE23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C6147E4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Redovni rashodi za zaposlene</w:t>
            </w:r>
          </w:p>
          <w:p w14:paraId="3B0FEAB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Redovni rashodi za zaposlene - UDU</w:t>
            </w:r>
          </w:p>
          <w:p w14:paraId="6CAC561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Financiranje ostalih rashoda za zaposlene</w:t>
            </w:r>
          </w:p>
          <w:p w14:paraId="2A702BA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Sredstva za preustroj Upravnih tijela</w:t>
            </w:r>
          </w:p>
          <w:p w14:paraId="2C47FB4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2EDA1B1B" w14:textId="77777777" w:rsidTr="00A55BC5">
        <w:trPr>
          <w:trHeight w:val="155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7BF75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D81D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Financiranje troškova rada upravnih tijela i povjerenih poslova državne uprave u okviru zadanih proračunskih veličina po načelu ekonomčnosti, u skladu sa propisima i internim aktima koji uređuju mjerila i način korištenja proračunskih sredstava za obavljanje djelatnosti. </w:t>
            </w:r>
          </w:p>
          <w:p w14:paraId="322E836A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Redovno i pravovremeno podmirivanje svih financijskih obveza prema zaposlenicima,  odnosno osigurana su sredstva za nesmetano obavljanje upravnih, stručnih i ostalih poslova u upravnim tijelima Županije,  te su ostvareni uvjeti za njihovo redovno financiranje - isplata plaća i drugih materijalnih prava zaposlenika.</w:t>
            </w:r>
          </w:p>
          <w:p w14:paraId="3D7439C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Pravodobno i učinkovito izvršavanje  povjerenih poslova državne uprave te poduzimanje svih potrebnih predradnji kako bi se osigurao kontinuitet u obavljanju povjerenih poslova.</w:t>
            </w:r>
          </w:p>
        </w:tc>
      </w:tr>
      <w:tr w:rsidR="00A41863" w:rsidRPr="00A45E24" w14:paraId="35364888" w14:textId="77777777" w:rsidTr="00A55BC5">
        <w:trPr>
          <w:trHeight w:val="4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4EA60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8F31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Upravna tijela županije</w:t>
            </w:r>
          </w:p>
        </w:tc>
      </w:tr>
      <w:tr w:rsidR="00A41863" w:rsidRPr="00A45E24" w14:paraId="70A18EEF" w14:textId="77777777" w:rsidTr="00A55BC5">
        <w:trPr>
          <w:trHeight w:val="42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8969B0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86E6F" w14:textId="77777777" w:rsidR="00A41863" w:rsidRPr="00A45E24" w:rsidRDefault="00A41863" w:rsidP="00A55BC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Zakonska osnova, opći i interni akti, kolektivni ugovor, Zakon o sustavu državne uprave</w:t>
            </w:r>
          </w:p>
        </w:tc>
      </w:tr>
      <w:tr w:rsidR="00A41863" w:rsidRPr="00A45E24" w14:paraId="1BE4DE0C" w14:textId="77777777" w:rsidTr="00A55BC5">
        <w:trPr>
          <w:trHeight w:val="41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F55559" w14:textId="6BC6B97D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 w:rsidR="00391D9D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7E7CF" w14:textId="3F54AC3B" w:rsidR="00A41863" w:rsidRPr="00A45E24" w:rsidRDefault="00391D9D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5.0</w:t>
            </w:r>
            <w:r w:rsidR="00AD4F1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90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.</w:t>
            </w:r>
            <w:r w:rsidR="00AD4F1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053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A41863" w:rsidRPr="00A45E24" w14:paraId="7667ED34" w14:textId="77777777" w:rsidTr="00A55BC5">
        <w:trPr>
          <w:trHeight w:val="40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273C3D" w14:textId="096EF810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 w:rsidR="00391D9D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CDC0" w14:textId="68324C09" w:rsidR="00A41863" w:rsidRPr="00A45E24" w:rsidRDefault="00AD4F15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5.052.248,13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99,25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2E82F339" w14:textId="77777777" w:rsidTr="00A55BC5">
        <w:trPr>
          <w:trHeight w:val="83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03D56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D7D1" w14:textId="01E7C111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Aktivnost  Redovni rashodi za zaposlene realizirani su </w:t>
            </w:r>
            <w:r w:rsidR="00AD4F15">
              <w:rPr>
                <w:rFonts w:cstheme="minorHAnsi"/>
                <w:color w:val="000000" w:themeColor="text1"/>
                <w:sz w:val="24"/>
                <w:szCs w:val="24"/>
              </w:rPr>
              <w:t>98,88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u odnosu na plan. Bruto plaće i doprinosi na plaće izvršeni su u iznosu od </w:t>
            </w:r>
            <w:r w:rsidR="00AD4F15">
              <w:rPr>
                <w:rFonts w:cstheme="minorHAnsi"/>
                <w:color w:val="000000" w:themeColor="text1"/>
                <w:sz w:val="24"/>
                <w:szCs w:val="24"/>
              </w:rPr>
              <w:t>2.068.160,69</w:t>
            </w:r>
            <w:r w:rsidR="00391D9D">
              <w:rPr>
                <w:rFonts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odnosno </w:t>
            </w:r>
            <w:r w:rsidR="003D6EE0">
              <w:rPr>
                <w:rFonts w:cstheme="minorHAnsi"/>
                <w:color w:val="000000" w:themeColor="text1"/>
                <w:sz w:val="24"/>
                <w:szCs w:val="24"/>
              </w:rPr>
              <w:t>99,27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od plana. Ostali rashodi za 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zaposlene i naknade troškova zaposlenima izvršeni su u iznosu od </w:t>
            </w:r>
            <w:r w:rsidR="003D6EE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F55F6B">
              <w:rPr>
                <w:rFonts w:cstheme="minorHAnsi"/>
                <w:color w:val="000000" w:themeColor="text1"/>
                <w:sz w:val="24"/>
                <w:szCs w:val="24"/>
              </w:rPr>
              <w:t>62.166,04</w:t>
            </w:r>
            <w:r w:rsidR="003D6EE0">
              <w:rPr>
                <w:rFonts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ili </w:t>
            </w:r>
            <w:r w:rsidR="003D6EE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="00F55F6B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3D6EE0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 w:rsidR="00F55F6B">
              <w:rPr>
                <w:rFonts w:cstheme="minorHAnsi"/>
                <w:color w:val="000000" w:themeColor="text1"/>
                <w:sz w:val="24"/>
                <w:szCs w:val="24"/>
              </w:rPr>
              <w:t>66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% od plana.</w:t>
            </w:r>
          </w:p>
          <w:p w14:paraId="5C4A2904" w14:textId="5520BD06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Aktivnost Redovni rashodi za zaposlene UDU izvršeni su 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99,75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 Bruto plaće i doprinose na plaće izvršeni su u iznosu od 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2.019.572,40 €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. Ostali rashodi za zaposlene i naknade troškova zaposlenim izvršeni su u iznosu od 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486.011,99 €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 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97,57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%, a sukladno </w:t>
            </w:r>
            <w:proofErr w:type="spellStart"/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don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jetim</w:t>
            </w:r>
            <w:proofErr w:type="spellEnd"/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 aktima za obavljanje povjerenih poslova.</w:t>
            </w:r>
          </w:p>
          <w:p w14:paraId="24147238" w14:textId="32C10382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Financiranje ostalih rashoda za zaposlene izvršena je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3D6E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100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% od plana.</w:t>
            </w:r>
          </w:p>
          <w:p w14:paraId="3F6E9A2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Sredstva za preustroj Upravnih tijela nije izvršena u izvještajnom razdoblju.</w:t>
            </w:r>
          </w:p>
          <w:p w14:paraId="111D5CEF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328A47F4" w14:textId="77777777" w:rsidTr="00EA24C1">
        <w:trPr>
          <w:trHeight w:val="57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9A69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lastRenderedPageBreak/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4D03" w14:textId="34C65E25" w:rsidR="00A41863" w:rsidRPr="00EA24C1" w:rsidRDefault="00A41863" w:rsidP="00EA24C1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Racionalno financiranje rashoda za zaposlene u skladu </w:t>
            </w:r>
            <w:r w:rsidR="00EA24C1">
              <w:rPr>
                <w:rFonts w:cstheme="minorHAnsi"/>
                <w:color w:val="000000" w:themeColor="text1"/>
                <w:sz w:val="24"/>
                <w:szCs w:val="24"/>
              </w:rPr>
              <w:t xml:space="preserve">je 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sa zakonskim propisima i internim aktima.</w:t>
            </w:r>
          </w:p>
        </w:tc>
      </w:tr>
      <w:tr w:rsidR="00A41863" w:rsidRPr="00A45E24" w14:paraId="7DB8FEB8" w14:textId="77777777" w:rsidTr="00A55BC5">
        <w:trPr>
          <w:trHeight w:val="37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F729A3" w14:textId="77777777" w:rsidR="00A41863" w:rsidRPr="00A45E24" w:rsidRDefault="00A41863" w:rsidP="00A55BC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0555CB" w14:textId="1F9BA9D6" w:rsidR="00A41863" w:rsidRPr="00A45E24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Financijski rashodi i naknade za </w:t>
            </w:r>
            <w:r w:rsidR="006B4A9F">
              <w:rPr>
                <w:rFonts w:cstheme="minorHAnsi"/>
                <w:b/>
                <w:color w:val="000000" w:themeColor="text1"/>
                <w:sz w:val="24"/>
                <w:szCs w:val="24"/>
              </w:rPr>
              <w:t>na</w:t>
            </w: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platu poreza</w:t>
            </w:r>
          </w:p>
        </w:tc>
      </w:tr>
      <w:tr w:rsidR="00A41863" w:rsidRPr="00A45E24" w14:paraId="175C8038" w14:textId="77777777" w:rsidTr="00A55BC5">
        <w:trPr>
          <w:trHeight w:val="41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0DE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4B4688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6C01406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07106CA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1C246C2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C54E95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2088365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CD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isplatu 5% provizije Poreznoj upravi za poslove evidencije, razreza i naplate županijskih poreza osim poreza na cmv, naknade stanicama za tehnički pregled vozila za poslove naplate poreza na cestovna motorna vozila, te 1% naknade Poreznoj upravi za obavljanje poslova utvrđivanja, evidentiranja, naplate, nadzora i ovrhe na porez na dohodak kao i ostali financijski rashodi</w:t>
            </w:r>
          </w:p>
        </w:tc>
      </w:tr>
      <w:tr w:rsidR="00A41863" w:rsidRPr="00A45E24" w14:paraId="12685219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9798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557855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D1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Porezna uprava, Stanice za tehnički pregled, banke, Financijska agencija, zatezne kamate</w:t>
            </w:r>
          </w:p>
        </w:tc>
      </w:tr>
      <w:tr w:rsidR="00A41863" w:rsidRPr="00A45E24" w14:paraId="1F75A52F" w14:textId="77777777" w:rsidTr="00A55BC5">
        <w:trPr>
          <w:trHeight w:val="44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239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19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odluka</w:t>
            </w:r>
          </w:p>
        </w:tc>
      </w:tr>
      <w:tr w:rsidR="00A41863" w:rsidRPr="00A45E24" w14:paraId="525903C5" w14:textId="77777777" w:rsidTr="00306313">
        <w:trPr>
          <w:trHeight w:val="39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B910" w14:textId="73A1D0EA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79" w14:textId="7AB05BAA" w:rsidR="00A41863" w:rsidRPr="00A45E24" w:rsidRDefault="006B4A9F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221</w:t>
            </w:r>
            <w:r w:rsidR="00F1137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5</w:t>
            </w:r>
            <w:r w:rsidR="00F1137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A41863" w:rsidRPr="00A45E24" w14:paraId="0EFD87DD" w14:textId="77777777" w:rsidTr="00306313">
        <w:trPr>
          <w:trHeight w:val="41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7AFA" w14:textId="35B96970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D90" w14:textId="439B3CE9" w:rsidR="00A41863" w:rsidRPr="00A45E24" w:rsidRDefault="006B4A9F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214.052,50</w:t>
            </w:r>
            <w:r w:rsidR="00A41863"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(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96,64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3EAEE1E6" w14:textId="77777777" w:rsidTr="00306313">
        <w:trPr>
          <w:trHeight w:val="56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1E80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43E23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49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Pravovremeno financiranje svih financijskih rashoda  prema ugovorenim obvezama</w:t>
            </w:r>
          </w:p>
        </w:tc>
      </w:tr>
      <w:tr w:rsidR="006B4A9F" w:rsidRPr="006B4A9F" w14:paraId="06EBAF4C" w14:textId="77777777" w:rsidTr="00306313">
        <w:trPr>
          <w:trHeight w:val="208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101E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4002764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4F3EEAA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1D17A03D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2E6B0BA5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5BAA775B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5B1C3AA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7F7CA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EB" w14:textId="5686C8C4" w:rsidR="00A41863" w:rsidRPr="007F7CAF" w:rsidRDefault="00A41863" w:rsidP="0055135B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 izvještajnom razdoblju isplaćeno je Poreznoj upravi  </w:t>
            </w:r>
            <w:r w:rsidR="007F7CAF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149.916,11</w:t>
            </w:r>
            <w:r w:rsidR="00431957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naplatu poreza na dohodak  i </w:t>
            </w:r>
            <w:r w:rsidR="0055135B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7F7CAF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6.151,79</w:t>
            </w:r>
            <w:r w:rsidR="00B5765A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poslove naplate županijskih poreza osim poreza na CMV, Centru za vozila Hrvatske i Stanicama za tehnički pregled vozila za poslove naplate poreza na cestovna motorna vozila isplaćen je iznos od </w:t>
            </w:r>
            <w:r w:rsidR="007F7CAF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23.741,87 </w:t>
            </w:r>
            <w:r w:rsidR="00431957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 usluge banaka i usluge platnog prometa </w:t>
            </w:r>
            <w:r w:rsidR="007F7CAF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33.537,29</w:t>
            </w:r>
            <w:r w:rsidR="00B5765A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 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 zatezne kamate </w:t>
            </w:r>
            <w:r w:rsidR="007F7CAF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705,44 </w:t>
            </w:r>
            <w:r w:rsidR="00B5765A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6B4A9F" w:rsidRPr="006B4A9F" w14:paraId="3D87F907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0B314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7F7CA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7F7CAF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A160006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026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7CAF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Otplata beskamatnog zajma</w:t>
            </w:r>
          </w:p>
        </w:tc>
      </w:tr>
      <w:tr w:rsidR="006B4A9F" w:rsidRPr="006B4A9F" w14:paraId="139725CA" w14:textId="77777777" w:rsidTr="00306313">
        <w:trPr>
          <w:trHeight w:val="69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565D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822F8EF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0B4F024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686D9714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4F49B9CC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5A69B7A6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24B754C4" w14:textId="777777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7F7CA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A78A" w14:textId="66C69A77" w:rsidR="00A41863" w:rsidRPr="007F7CAF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 xml:space="preserve">U okviru ove aktivnosti planirana su sredstva za otplatu </w:t>
            </w:r>
            <w:proofErr w:type="spellStart"/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beskamat</w:t>
            </w:r>
            <w:r w:rsid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og</w:t>
            </w:r>
            <w:proofErr w:type="spellEnd"/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zajm</w:t>
            </w:r>
            <w:r w:rsid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iz Državnog proračuna koje</w:t>
            </w:r>
            <w:r w:rsid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je Dubrovačko – neretvanska županija koristila</w:t>
            </w:r>
            <w:r w:rsid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po osnovi </w:t>
            </w:r>
            <w:r w:rsidR="00CC53A2"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isplaćenog 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zajam do </w:t>
            </w:r>
            <w:r w:rsidRPr="007F7CA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visine poreza na dohodak i prireza porezu na dohodak čije je plaćanje oslobođeno, odgođeno ili je odobrena obročna otplata</w:t>
            </w:r>
          </w:p>
        </w:tc>
      </w:tr>
      <w:tr w:rsidR="006B4A9F" w:rsidRPr="006B4A9F" w14:paraId="42B79EC7" w14:textId="77777777" w:rsidTr="00A55BC5">
        <w:trPr>
          <w:trHeight w:val="3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62E4" w14:textId="77777777" w:rsidR="00A41863" w:rsidRPr="0030631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9E" w14:textId="77777777" w:rsidR="00A41863" w:rsidRPr="0030631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Upravni odjel za financije</w:t>
            </w:r>
          </w:p>
        </w:tc>
      </w:tr>
      <w:tr w:rsidR="006B4A9F" w:rsidRPr="006B4A9F" w14:paraId="381A3761" w14:textId="77777777" w:rsidTr="00A55BC5">
        <w:trPr>
          <w:trHeight w:val="34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0A0B" w14:textId="77777777" w:rsidR="00A41863" w:rsidRPr="0030631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1FE" w14:textId="77777777" w:rsidR="00A41863" w:rsidRPr="00306313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Naputak Ministarstva financija</w:t>
            </w:r>
          </w:p>
        </w:tc>
      </w:tr>
      <w:tr w:rsidR="006B4A9F" w:rsidRPr="006B4A9F" w14:paraId="3A8C7C96" w14:textId="77777777" w:rsidTr="00A55BC5">
        <w:trPr>
          <w:trHeight w:val="35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B505D" w14:textId="6C6541BC" w:rsidR="00A41863" w:rsidRPr="00306313" w:rsidRDefault="00CC53A2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E9A" w14:textId="3F8D80BD" w:rsidR="00A41863" w:rsidRPr="00306313" w:rsidRDefault="004B2B7D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7F7CAF"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.997</w:t>
            </w: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6B4A9F" w:rsidRPr="006B4A9F" w14:paraId="73C3BD6C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5D09" w14:textId="7BF02CA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43D" w14:textId="6D0BC9BE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7F7CAF"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407,12 </w:t>
            </w: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7F7CAF"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</w:t>
            </w:r>
            <w:r w:rsidR="007F7CAF"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46</w:t>
            </w: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6B4A9F" w:rsidRPr="006B4A9F" w14:paraId="2CAA0FD0" w14:textId="77777777" w:rsidTr="00A55BC5">
        <w:trPr>
          <w:trHeight w:val="3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BC57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2DC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Pravovremeni povrat primljenih zajmova</w:t>
            </w:r>
          </w:p>
        </w:tc>
      </w:tr>
      <w:tr w:rsidR="006B4A9F" w:rsidRPr="006B4A9F" w14:paraId="1712C4AE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79C1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52A496C3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F3892C8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863B144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06D" w14:textId="1FCE8F1C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vraćen je</w:t>
            </w:r>
            <w:r w:rsidR="00131FCA"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zajam do visine poreza na dohodak i prireza porezu na dohodak čije je plaćanje oslobođeno, odgođeno ili je odobrena obročna otplata u iznosu od </w:t>
            </w:r>
            <w:r w:rsidR="00114BA5"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1.</w:t>
            </w:r>
            <w:r w:rsid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407,12</w:t>
            </w:r>
            <w:r w:rsidR="00114BA5"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6B4A9F" w:rsidRPr="006B4A9F" w14:paraId="66918D8F" w14:textId="77777777" w:rsidTr="00A55BC5">
        <w:trPr>
          <w:trHeight w:val="45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FD16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306313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A160007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CFF78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Jamstvena zaliha</w:t>
            </w:r>
          </w:p>
        </w:tc>
      </w:tr>
      <w:tr w:rsidR="006B4A9F" w:rsidRPr="006B4A9F" w14:paraId="04EF10D8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0A799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410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color w:val="000000" w:themeColor="text1"/>
              </w:rPr>
              <w:t>Jamstvena zaliha  planira se za slučaj  protestiranja očekivanih danih jamstava Županije.</w:t>
            </w:r>
          </w:p>
        </w:tc>
      </w:tr>
      <w:tr w:rsidR="006B4A9F" w:rsidRPr="006B4A9F" w14:paraId="44CEE98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5D894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2C0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6B4A9F" w:rsidRPr="006B4A9F" w14:paraId="72292EB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8BFB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Zakonska 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A25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</w:t>
            </w:r>
          </w:p>
        </w:tc>
      </w:tr>
      <w:tr w:rsidR="006B4A9F" w:rsidRPr="006B4A9F" w14:paraId="3C87D8E4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2E593" w14:textId="6BB8B1EB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</w:t>
            </w:r>
            <w:r w:rsidR="00114BA5"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4DE" w14:textId="6AB0255E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14BA5"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32.722</w:t>
            </w: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6B4A9F" w:rsidRPr="006B4A9F" w14:paraId="747B3072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8090" w14:textId="372D48A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</w:t>
            </w:r>
            <w:r w:rsidR="00114BA5"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711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6B4A9F" w:rsidRPr="006B4A9F" w14:paraId="4A5DD436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8D8F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270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6B4A9F" w:rsidRPr="006B4A9F" w14:paraId="477A3BBB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E713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Izvještaj o </w:t>
            </w:r>
            <w:proofErr w:type="spellStart"/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pstignutim</w:t>
            </w:r>
            <w:proofErr w:type="spellEnd"/>
            <w:r w:rsidRPr="0030631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401" w14:textId="77777777" w:rsidR="00CC53A2" w:rsidRPr="00306313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0631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310CFE40" w14:textId="005F5C26" w:rsidR="004E35C4" w:rsidRPr="006B4A9F" w:rsidRDefault="004E35C4">
      <w:pPr>
        <w:rPr>
          <w:color w:val="FF0000"/>
        </w:rPr>
      </w:pPr>
    </w:p>
    <w:p w14:paraId="5D2CBA7A" w14:textId="77777777" w:rsidR="00E940D6" w:rsidRPr="00114CD5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bookmarkStart w:id="1" w:name="_Hlk117231780"/>
      <w:r w:rsidRPr="00114CD5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  <w:bookmarkEnd w:id="1"/>
    </w:p>
    <w:p w14:paraId="084600D5" w14:textId="70AC2876" w:rsidR="00E940D6" w:rsidRPr="00114CD5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114CD5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godine, ali je kroz Provedbeni program Dubrovačko-neretvanske županije za razdoblje 2021.-2025. godine koji predstavlja poveznicu Proračuna i Plana razvoja i obuhvaća sve rashode i izdatke Proračuna povezan s posebnom mjerom 4.1.1. jačanje kvalitete županijskih i lokalnih institucija.</w:t>
      </w:r>
    </w:p>
    <w:p w14:paraId="17993AD2" w14:textId="77777777" w:rsidR="00E940D6" w:rsidRPr="00114CD5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</w:p>
    <w:p w14:paraId="7B52CCA1" w14:textId="77262E37" w:rsidR="004E35C4" w:rsidRPr="00114CD5" w:rsidRDefault="004E35C4" w:rsidP="004E35C4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</w:rPr>
      </w:pPr>
      <w:r w:rsidRPr="00114CD5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Program 1601 Proračunska zaliha </w:t>
      </w:r>
    </w:p>
    <w:p w14:paraId="68C6FC0E" w14:textId="77777777" w:rsidR="004E35C4" w:rsidRPr="006B4A9F" w:rsidRDefault="004E35C4" w:rsidP="004E35C4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6B4A9F" w:rsidRPr="006B4A9F" w14:paraId="278CE216" w14:textId="77777777" w:rsidTr="00A55BC5">
        <w:trPr>
          <w:trHeight w:val="41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D20CF" w14:textId="77777777" w:rsidR="004E35C4" w:rsidRPr="00114CD5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b/>
                <w:color w:val="000000" w:themeColor="text1"/>
                <w:sz w:val="24"/>
                <w:szCs w:val="24"/>
              </w:rPr>
              <w:t>Aktivnost  A160101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06484" w14:textId="77777777" w:rsidR="004E35C4" w:rsidRPr="00114CD5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b/>
                <w:color w:val="000000" w:themeColor="text1"/>
                <w:sz w:val="24"/>
                <w:szCs w:val="24"/>
              </w:rPr>
              <w:t>Proračunska zaliha</w:t>
            </w:r>
          </w:p>
        </w:tc>
      </w:tr>
      <w:tr w:rsidR="006B4A9F" w:rsidRPr="006B4A9F" w14:paraId="78F06461" w14:textId="77777777" w:rsidTr="00A55BC5">
        <w:trPr>
          <w:trHeight w:val="38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CA406E" w14:textId="77777777" w:rsidR="004E35C4" w:rsidRPr="00114CD5" w:rsidRDefault="004E35C4" w:rsidP="00A55BC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9F05" w14:textId="77777777" w:rsidR="004E35C4" w:rsidRPr="00114CD5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color w:val="000000" w:themeColor="text1"/>
                <w:sz w:val="24"/>
                <w:szCs w:val="24"/>
              </w:rPr>
              <w:t xml:space="preserve">Sukladno članku 65. Zakona o proračunu, u proračunu se utvrđuju sredstva za proračunsku zalihu. </w:t>
            </w:r>
            <w:r w:rsidRPr="00114CD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Sredstva proračunske zalihe koriste se za financiranje rashoda nastalih pri otklanjanju posljedica elementarnih nepogoda, epidemija, ekoloških i ostalih nepredvidivih nesreća odnosno izvanrednih događaja tijekom </w:t>
            </w:r>
            <w:r w:rsidRPr="00114CD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godine</w:t>
            </w:r>
            <w:r w:rsidRPr="00114CD5">
              <w:rPr>
                <w:rFonts w:cstheme="minorHAnsi"/>
                <w:color w:val="000000" w:themeColor="text1"/>
                <w:sz w:val="24"/>
                <w:szCs w:val="24"/>
              </w:rPr>
              <w:t xml:space="preserve">. </w:t>
            </w:r>
            <w:r w:rsidRPr="00114CD5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mogu iznositi najviše 0,50 posto planiranih općih prihoda proračuna tekuće godine bez primitaka.</w:t>
            </w:r>
            <w:r w:rsidRPr="00114CD5">
              <w:rPr>
                <w:color w:val="000000" w:themeColor="text1"/>
                <w:shd w:val="clear" w:color="auto" w:fill="FFFFFF"/>
              </w:rPr>
              <w:t xml:space="preserve"> </w:t>
            </w:r>
            <w:r w:rsidRPr="00114CD5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ne mogu se koristiti za pozajmljivanje.</w:t>
            </w:r>
          </w:p>
          <w:p w14:paraId="72DF3B3C" w14:textId="77777777" w:rsidR="004E35C4" w:rsidRPr="00114CD5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color w:val="000000" w:themeColor="text1"/>
                <w:sz w:val="24"/>
                <w:szCs w:val="24"/>
              </w:rPr>
              <w:t>Visina sredstava proračunske zalihe utvrđuje se Odlukom o izvršavanju proračuna.</w:t>
            </w:r>
          </w:p>
        </w:tc>
      </w:tr>
      <w:tr w:rsidR="004E35C4" w:rsidRPr="00A45E24" w14:paraId="63C23527" w14:textId="77777777" w:rsidTr="00A55BC5">
        <w:trPr>
          <w:trHeight w:val="27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7D98C" w14:textId="7777777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lastRenderedPageBreak/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19087" w14:textId="77777777" w:rsidR="004E35C4" w:rsidRPr="00114CD5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4E35C4" w:rsidRPr="00A45E24" w14:paraId="312C32DA" w14:textId="77777777" w:rsidTr="00A55BC5">
        <w:trPr>
          <w:trHeight w:val="40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7DF628" w14:textId="7777777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Zakonska 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1FF7" w14:textId="77777777" w:rsidR="004E35C4" w:rsidRPr="00114CD5" w:rsidRDefault="004E35C4" w:rsidP="00A55BC5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 o proračunu, Odluka o izvršavanju Proračuna</w:t>
            </w:r>
          </w:p>
        </w:tc>
      </w:tr>
      <w:tr w:rsidR="004E35C4" w:rsidRPr="00A45E24" w14:paraId="08D4C9D2" w14:textId="77777777" w:rsidTr="00A55BC5">
        <w:trPr>
          <w:trHeight w:val="2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7B33C" w14:textId="6F773EBD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</w:t>
            </w:r>
            <w:r w:rsidR="00114BA5"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3B6B3" w14:textId="1A7D8133" w:rsidR="004E35C4" w:rsidRPr="00114CD5" w:rsidRDefault="00114BA5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72.600</w:t>
            </w:r>
            <w:r w:rsidR="004E35C4"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4E35C4" w:rsidRPr="00A45E24" w14:paraId="2FA03F19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4F3A21" w14:textId="2FC4BDC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</w:t>
            </w:r>
            <w:r w:rsidR="00114BA5"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0B7" w14:textId="77777777" w:rsidR="004E35C4" w:rsidRPr="00114CD5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0,00 </w:t>
            </w:r>
          </w:p>
        </w:tc>
      </w:tr>
      <w:tr w:rsidR="004E35C4" w:rsidRPr="00A45E24" w14:paraId="7FA2B5C2" w14:textId="77777777" w:rsidTr="00B71061">
        <w:trPr>
          <w:trHeight w:val="51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178C6" w14:textId="7777777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3D7" w14:textId="77777777" w:rsidR="004E35C4" w:rsidRPr="00114CD5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4E35C4" w:rsidRPr="00A45E24" w14:paraId="2C83C429" w14:textId="77777777" w:rsidTr="00A55BC5">
        <w:trPr>
          <w:trHeight w:val="65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23DEB2" w14:textId="7777777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114CD5">
              <w:rPr>
                <w:rFonts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1906" w14:textId="77777777" w:rsidR="004E35C4" w:rsidRPr="00114CD5" w:rsidRDefault="004E35C4" w:rsidP="00A55BC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114CD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56092F96" w14:textId="77777777" w:rsidR="004E35C4" w:rsidRDefault="004E35C4" w:rsidP="004E35C4"/>
    <w:p w14:paraId="6C7238D1" w14:textId="77777777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</w:p>
    <w:p w14:paraId="74FAA268" w14:textId="3ECF77FF" w:rsidR="00E940D6" w:rsidRP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</w:t>
      </w:r>
      <w:r>
        <w:rPr>
          <w:rFonts w:asciiTheme="minorHAnsi" w:hAnsiTheme="minorHAnsi" w:cstheme="minorHAnsi"/>
          <w:color w:val="000000" w:themeColor="text1"/>
          <w:lang w:val="hr-HR"/>
        </w:rPr>
        <w:t xml:space="preserve"> i kroz Provedbeni program Dubrovačko-neretvanske županije u razdoblju 2021.-2025. godine nema poveznicu s posebnom mjerom.</w:t>
      </w:r>
    </w:p>
    <w:p w14:paraId="24DC6EA3" w14:textId="77777777" w:rsidR="004E35C4" w:rsidRDefault="004E35C4"/>
    <w:sectPr w:rsidR="004E3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4EC0E" w14:textId="77777777" w:rsidR="007B30A5" w:rsidRDefault="007B30A5" w:rsidP="008641D9">
      <w:pPr>
        <w:spacing w:after="0" w:line="240" w:lineRule="auto"/>
      </w:pPr>
      <w:r>
        <w:separator/>
      </w:r>
    </w:p>
  </w:endnote>
  <w:endnote w:type="continuationSeparator" w:id="0">
    <w:p w14:paraId="674DE2BB" w14:textId="77777777" w:rsidR="007B30A5" w:rsidRDefault="007B30A5" w:rsidP="0086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1605" w14:textId="77777777" w:rsidR="008641D9" w:rsidRDefault="0086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152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634D8" w14:textId="6064C865" w:rsidR="008641D9" w:rsidRDefault="00864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B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102142" w14:textId="77777777" w:rsidR="008641D9" w:rsidRDefault="0086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20DA" w14:textId="77777777" w:rsidR="008641D9" w:rsidRDefault="0086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6A6C" w14:textId="77777777" w:rsidR="007B30A5" w:rsidRDefault="007B30A5" w:rsidP="008641D9">
      <w:pPr>
        <w:spacing w:after="0" w:line="240" w:lineRule="auto"/>
      </w:pPr>
      <w:r>
        <w:separator/>
      </w:r>
    </w:p>
  </w:footnote>
  <w:footnote w:type="continuationSeparator" w:id="0">
    <w:p w14:paraId="2BB8320A" w14:textId="77777777" w:rsidR="007B30A5" w:rsidRDefault="007B30A5" w:rsidP="0086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8501" w14:textId="77777777" w:rsidR="008641D9" w:rsidRDefault="0086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055F" w14:textId="77777777" w:rsidR="008641D9" w:rsidRDefault="0086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A834" w14:textId="77777777" w:rsidR="008641D9" w:rsidRDefault="008641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863"/>
    <w:rsid w:val="00004AE2"/>
    <w:rsid w:val="000D0D2A"/>
    <w:rsid w:val="000E2077"/>
    <w:rsid w:val="00114BA5"/>
    <w:rsid w:val="00114CD5"/>
    <w:rsid w:val="00131FCA"/>
    <w:rsid w:val="001B44CF"/>
    <w:rsid w:val="0027324C"/>
    <w:rsid w:val="002E61AC"/>
    <w:rsid w:val="002F6D03"/>
    <w:rsid w:val="00306313"/>
    <w:rsid w:val="00381D55"/>
    <w:rsid w:val="00391D9D"/>
    <w:rsid w:val="003D6EE0"/>
    <w:rsid w:val="00431957"/>
    <w:rsid w:val="004458D0"/>
    <w:rsid w:val="0046394C"/>
    <w:rsid w:val="00465BF2"/>
    <w:rsid w:val="004932D0"/>
    <w:rsid w:val="00497E31"/>
    <w:rsid w:val="004A1E9D"/>
    <w:rsid w:val="004B2B7D"/>
    <w:rsid w:val="004E35C4"/>
    <w:rsid w:val="0055135B"/>
    <w:rsid w:val="00600E4E"/>
    <w:rsid w:val="00676276"/>
    <w:rsid w:val="006B30F0"/>
    <w:rsid w:val="006B4A9F"/>
    <w:rsid w:val="00770B68"/>
    <w:rsid w:val="007B30A5"/>
    <w:rsid w:val="007F7CAF"/>
    <w:rsid w:val="00842A7A"/>
    <w:rsid w:val="008641D9"/>
    <w:rsid w:val="00906041"/>
    <w:rsid w:val="009A5658"/>
    <w:rsid w:val="00A41863"/>
    <w:rsid w:val="00AD4F15"/>
    <w:rsid w:val="00B5765A"/>
    <w:rsid w:val="00B71061"/>
    <w:rsid w:val="00BA2998"/>
    <w:rsid w:val="00BA3852"/>
    <w:rsid w:val="00BC2B2E"/>
    <w:rsid w:val="00BE4B25"/>
    <w:rsid w:val="00CC53A2"/>
    <w:rsid w:val="00D55973"/>
    <w:rsid w:val="00D574A9"/>
    <w:rsid w:val="00E940D6"/>
    <w:rsid w:val="00EA24C1"/>
    <w:rsid w:val="00F11375"/>
    <w:rsid w:val="00F55F6B"/>
    <w:rsid w:val="00FA7116"/>
    <w:rsid w:val="00FD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FF00"/>
  <w15:chartTrackingRefBased/>
  <w15:docId w15:val="{9C12C4EC-634F-4DFF-8C45-5250C331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6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BA2998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BA2998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1D9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1D9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7D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8</cp:revision>
  <cp:lastPrinted>2023-09-11T12:30:00Z</cp:lastPrinted>
  <dcterms:created xsi:type="dcterms:W3CDTF">2024-05-16T13:11:00Z</dcterms:created>
  <dcterms:modified xsi:type="dcterms:W3CDTF">2024-05-17T11:09:00Z</dcterms:modified>
</cp:coreProperties>
</file>